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CE" w:rsidRPr="00041FA9" w:rsidRDefault="00041FA9" w:rsidP="00931DC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041FA9">
        <w:rPr>
          <w:rFonts w:ascii="Times New Roman" w:hAnsi="Times New Roman"/>
          <w:color w:val="000000"/>
          <w:sz w:val="28"/>
          <w:szCs w:val="28"/>
        </w:rPr>
        <w:t>Додаток 1</w:t>
      </w:r>
    </w:p>
    <w:p w:rsidR="00931DCE" w:rsidRPr="00EC2B1F" w:rsidRDefault="00041FA9" w:rsidP="00931DCE">
      <w:pPr>
        <w:tabs>
          <w:tab w:val="left" w:pos="7110"/>
        </w:tabs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="00931DCE" w:rsidRPr="00EC2B1F">
        <w:rPr>
          <w:rFonts w:ascii="Times New Roman" w:hAnsi="Times New Roman"/>
          <w:color w:val="000000"/>
          <w:sz w:val="28"/>
          <w:szCs w:val="28"/>
        </w:rPr>
        <w:t>наказ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="00931DCE" w:rsidRPr="00EC2B1F">
        <w:rPr>
          <w:rFonts w:ascii="Times New Roman" w:hAnsi="Times New Roman"/>
          <w:color w:val="000000"/>
          <w:sz w:val="28"/>
          <w:szCs w:val="28"/>
        </w:rPr>
        <w:t xml:space="preserve"> Департаменту освіти науки</w:t>
      </w:r>
    </w:p>
    <w:p w:rsidR="00931DCE" w:rsidRPr="00EC2B1F" w:rsidRDefault="00931DCE" w:rsidP="00931DCE">
      <w:pPr>
        <w:tabs>
          <w:tab w:val="left" w:pos="7110"/>
        </w:tabs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EC2B1F">
        <w:rPr>
          <w:rFonts w:ascii="Times New Roman" w:hAnsi="Times New Roman"/>
          <w:color w:val="000000"/>
          <w:sz w:val="28"/>
          <w:szCs w:val="28"/>
        </w:rPr>
        <w:t>обласної державної адміністрації</w:t>
      </w:r>
    </w:p>
    <w:p w:rsidR="00931DCE" w:rsidRPr="00EC2B1F" w:rsidRDefault="00931DCE" w:rsidP="00931DCE">
      <w:pPr>
        <w:tabs>
          <w:tab w:val="left" w:pos="6148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EC2B1F">
        <w:rPr>
          <w:rFonts w:ascii="Times New Roman" w:hAnsi="Times New Roman"/>
          <w:color w:val="000000"/>
          <w:sz w:val="28"/>
          <w:szCs w:val="28"/>
        </w:rPr>
        <w:t>_________________ № ________</w:t>
      </w:r>
    </w:p>
    <w:p w:rsidR="000A24C9" w:rsidRDefault="000A24C9" w:rsidP="00D948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24C9" w:rsidRPr="00B45771" w:rsidRDefault="000A24C9" w:rsidP="000A24C9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771">
        <w:rPr>
          <w:rFonts w:ascii="Times New Roman" w:hAnsi="Times New Roman" w:cs="Times New Roman"/>
          <w:b/>
          <w:sz w:val="28"/>
          <w:szCs w:val="28"/>
        </w:rPr>
        <w:t xml:space="preserve">РЕКОМЕНДАЦІЇ </w:t>
      </w:r>
    </w:p>
    <w:p w:rsidR="000A24C9" w:rsidRPr="00B45771" w:rsidRDefault="000A24C9" w:rsidP="000A24C9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771">
        <w:rPr>
          <w:rFonts w:ascii="Times New Roman" w:hAnsi="Times New Roman" w:cs="Times New Roman"/>
          <w:b/>
          <w:sz w:val="28"/>
          <w:szCs w:val="28"/>
        </w:rPr>
        <w:t xml:space="preserve">щодо розроблення плану заходів, спрямованих на запобігання та протидію </w:t>
      </w:r>
      <w:proofErr w:type="spellStart"/>
      <w:r w:rsidRPr="00B45771">
        <w:rPr>
          <w:rFonts w:ascii="Times New Roman" w:hAnsi="Times New Roman" w:cs="Times New Roman"/>
          <w:b/>
          <w:sz w:val="28"/>
          <w:szCs w:val="28"/>
        </w:rPr>
        <w:t>булінгу</w:t>
      </w:r>
      <w:proofErr w:type="spellEnd"/>
      <w:r w:rsidRPr="00B45771">
        <w:rPr>
          <w:rFonts w:ascii="Times New Roman" w:hAnsi="Times New Roman" w:cs="Times New Roman"/>
          <w:b/>
          <w:sz w:val="28"/>
          <w:szCs w:val="28"/>
        </w:rPr>
        <w:t xml:space="preserve"> (цькуванню) в закладі освіти</w:t>
      </w:r>
    </w:p>
    <w:p w:rsidR="000A24C9" w:rsidRPr="00B45771" w:rsidRDefault="000A24C9" w:rsidP="000A24C9">
      <w:pPr>
        <w:spacing w:after="0" w:line="240" w:lineRule="auto"/>
        <w:ind w:left="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4C9" w:rsidRPr="00B45771" w:rsidRDefault="000A24C9" w:rsidP="000A24C9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771">
        <w:rPr>
          <w:rFonts w:ascii="Times New Roman" w:hAnsi="Times New Roman" w:cs="Times New Roman"/>
          <w:b/>
          <w:sz w:val="28"/>
          <w:szCs w:val="28"/>
        </w:rPr>
        <w:t>I.</w:t>
      </w:r>
      <w:r w:rsidRPr="00B45771">
        <w:rPr>
          <w:rFonts w:ascii="Times New Roman" w:hAnsi="Times New Roman" w:cs="Times New Roman"/>
          <w:b/>
          <w:sz w:val="28"/>
          <w:szCs w:val="28"/>
        </w:rPr>
        <w:tab/>
        <w:t>Загальні положення.</w:t>
      </w:r>
    </w:p>
    <w:p w:rsidR="000A24C9" w:rsidRPr="00B45771" w:rsidRDefault="000A24C9" w:rsidP="000A24C9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A24C9" w:rsidRPr="00041FA9" w:rsidRDefault="000A24C9" w:rsidP="00041FA9">
      <w:pPr>
        <w:pStyle w:val="a4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1FA9">
        <w:rPr>
          <w:rFonts w:ascii="Times New Roman" w:hAnsi="Times New Roman" w:cs="Times New Roman"/>
          <w:sz w:val="28"/>
          <w:szCs w:val="28"/>
        </w:rPr>
        <w:t>Для цілей цих рекомендацій терміни вживаються у таких значеннях:</w:t>
      </w:r>
    </w:p>
    <w:p w:rsidR="000A24C9" w:rsidRPr="00B45771" w:rsidRDefault="000A24C9" w:rsidP="000A24C9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4C9" w:rsidRPr="00B45771" w:rsidRDefault="000A24C9" w:rsidP="000A24C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771">
        <w:rPr>
          <w:rFonts w:ascii="Times New Roman" w:hAnsi="Times New Roman" w:cs="Times New Roman"/>
          <w:b/>
          <w:sz w:val="28"/>
          <w:szCs w:val="28"/>
        </w:rPr>
        <w:t>безпечне освітнє середовище</w:t>
      </w:r>
      <w:r w:rsidRPr="00B45771">
        <w:rPr>
          <w:rFonts w:ascii="Times New Roman" w:hAnsi="Times New Roman" w:cs="Times New Roman"/>
          <w:sz w:val="28"/>
          <w:szCs w:val="28"/>
        </w:rPr>
        <w:t xml:space="preserve"> – сукупність умов у закладі освіти, що унеможливлюють заподіяння учасникам освітнього процесу фізичної, майнової та/або моральної шкоди, зокрема, внаслідок недотримання вимог санітарних та/або будівельних норм і правил, шляхом фізичного та/або психологічного насильства, експлуатації, дискримінації за будь-якою ознакою, приниження честі, гідності, ділової репутації (</w:t>
      </w:r>
      <w:proofErr w:type="spellStart"/>
      <w:r w:rsidRPr="00B45771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B45771">
        <w:rPr>
          <w:rFonts w:ascii="Times New Roman" w:hAnsi="Times New Roman" w:cs="Times New Roman"/>
          <w:sz w:val="28"/>
          <w:szCs w:val="28"/>
        </w:rPr>
        <w:t xml:space="preserve"> (цькування), поширення неправдивих відомостей тощо), пропаганди та/або агітації, а також унеможливлюють вживання на території закладу освіти алкогольних напоїв, наркотичних засобів тощо; </w:t>
      </w:r>
    </w:p>
    <w:p w:rsidR="000A24C9" w:rsidRPr="00B45771" w:rsidRDefault="000A24C9" w:rsidP="000A24C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4C9" w:rsidRPr="00B45771" w:rsidRDefault="000A24C9" w:rsidP="000A24C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771">
        <w:rPr>
          <w:rFonts w:ascii="Times New Roman" w:hAnsi="Times New Roman" w:cs="Times New Roman"/>
          <w:b/>
          <w:sz w:val="28"/>
          <w:szCs w:val="28"/>
        </w:rPr>
        <w:t xml:space="preserve">запобігання </w:t>
      </w:r>
      <w:proofErr w:type="spellStart"/>
      <w:r w:rsidRPr="00B45771">
        <w:rPr>
          <w:rFonts w:ascii="Times New Roman" w:hAnsi="Times New Roman" w:cs="Times New Roman"/>
          <w:b/>
          <w:sz w:val="28"/>
          <w:szCs w:val="28"/>
        </w:rPr>
        <w:t>булінгу</w:t>
      </w:r>
      <w:proofErr w:type="spellEnd"/>
      <w:r w:rsidRPr="00B45771">
        <w:rPr>
          <w:rFonts w:ascii="Times New Roman" w:hAnsi="Times New Roman" w:cs="Times New Roman"/>
          <w:b/>
          <w:sz w:val="28"/>
          <w:szCs w:val="28"/>
        </w:rPr>
        <w:t xml:space="preserve"> (цькуванню)</w:t>
      </w:r>
      <w:r w:rsidRPr="00B45771">
        <w:rPr>
          <w:rFonts w:ascii="Times New Roman" w:hAnsi="Times New Roman" w:cs="Times New Roman"/>
          <w:sz w:val="28"/>
          <w:szCs w:val="28"/>
        </w:rPr>
        <w:t xml:space="preserve"> – сукупність заходів, способів, методів профілактики </w:t>
      </w:r>
      <w:proofErr w:type="spellStart"/>
      <w:r w:rsidRPr="00B45771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B45771">
        <w:rPr>
          <w:rFonts w:ascii="Times New Roman" w:hAnsi="Times New Roman" w:cs="Times New Roman"/>
          <w:sz w:val="28"/>
          <w:szCs w:val="28"/>
        </w:rPr>
        <w:t xml:space="preserve"> (цькування) в закладах освіти, спрямованих на попередження виникнення факторів ризику та/або зменшення їх впливу;</w:t>
      </w:r>
    </w:p>
    <w:p w:rsidR="000A24C9" w:rsidRPr="00B45771" w:rsidRDefault="000A24C9" w:rsidP="000A24C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4C9" w:rsidRPr="00B45771" w:rsidRDefault="000A24C9" w:rsidP="000A24C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771">
        <w:rPr>
          <w:rFonts w:ascii="Times New Roman" w:hAnsi="Times New Roman" w:cs="Times New Roman"/>
          <w:b/>
          <w:sz w:val="28"/>
          <w:szCs w:val="28"/>
        </w:rPr>
        <w:t xml:space="preserve">протидія </w:t>
      </w:r>
      <w:proofErr w:type="spellStart"/>
      <w:r w:rsidRPr="00B45771">
        <w:rPr>
          <w:rFonts w:ascii="Times New Roman" w:hAnsi="Times New Roman" w:cs="Times New Roman"/>
          <w:b/>
          <w:sz w:val="28"/>
          <w:szCs w:val="28"/>
        </w:rPr>
        <w:t>булінгу</w:t>
      </w:r>
      <w:proofErr w:type="spellEnd"/>
      <w:r w:rsidRPr="00B45771">
        <w:rPr>
          <w:rFonts w:ascii="Times New Roman" w:hAnsi="Times New Roman" w:cs="Times New Roman"/>
          <w:b/>
          <w:sz w:val="28"/>
          <w:szCs w:val="28"/>
        </w:rPr>
        <w:t xml:space="preserve"> (цькування)</w:t>
      </w:r>
      <w:r w:rsidRPr="00B45771">
        <w:rPr>
          <w:rFonts w:ascii="Times New Roman" w:hAnsi="Times New Roman" w:cs="Times New Roman"/>
          <w:sz w:val="28"/>
          <w:szCs w:val="28"/>
        </w:rPr>
        <w:t xml:space="preserve"> – сукупність заходів, способів, методів, спрямованих на відновлення та нормалізацію психологічного клімату у колективі з метою уникнення повторення випадку </w:t>
      </w:r>
      <w:proofErr w:type="spellStart"/>
      <w:r w:rsidRPr="00B45771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B45771">
        <w:rPr>
          <w:rFonts w:ascii="Times New Roman" w:hAnsi="Times New Roman" w:cs="Times New Roman"/>
          <w:sz w:val="28"/>
          <w:szCs w:val="28"/>
        </w:rPr>
        <w:t xml:space="preserve"> (цькування) в закладі освіти.</w:t>
      </w:r>
    </w:p>
    <w:p w:rsidR="000A24C9" w:rsidRPr="00B45771" w:rsidRDefault="000A24C9" w:rsidP="000A24C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4C9" w:rsidRPr="00041FA9" w:rsidRDefault="000A24C9" w:rsidP="00041FA9">
      <w:pPr>
        <w:pStyle w:val="a4"/>
        <w:numPr>
          <w:ilvl w:val="0"/>
          <w:numId w:val="13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FA9">
        <w:rPr>
          <w:rFonts w:ascii="Times New Roman" w:hAnsi="Times New Roman" w:cs="Times New Roman"/>
          <w:sz w:val="28"/>
          <w:szCs w:val="28"/>
        </w:rPr>
        <w:t xml:space="preserve">Метою запобігання та протидії </w:t>
      </w:r>
      <w:proofErr w:type="spellStart"/>
      <w:r w:rsidRPr="00041FA9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041FA9">
        <w:rPr>
          <w:rFonts w:ascii="Times New Roman" w:hAnsi="Times New Roman" w:cs="Times New Roman"/>
          <w:sz w:val="28"/>
          <w:szCs w:val="28"/>
        </w:rPr>
        <w:t xml:space="preserve"> (цькування) є створення безпечного освітнього середовища, що включає емоційно-психологічну та фізичну безпеку учасників освітнього процесу в закладі освіти.</w:t>
      </w:r>
    </w:p>
    <w:p w:rsidR="000A24C9" w:rsidRDefault="000A24C9" w:rsidP="000A24C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771">
        <w:rPr>
          <w:rFonts w:ascii="Times New Roman" w:hAnsi="Times New Roman" w:cs="Times New Roman"/>
          <w:sz w:val="28"/>
          <w:szCs w:val="28"/>
        </w:rPr>
        <w:t xml:space="preserve">Запобігання та протидія </w:t>
      </w:r>
      <w:proofErr w:type="spellStart"/>
      <w:r w:rsidRPr="00B45771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B45771">
        <w:rPr>
          <w:rFonts w:ascii="Times New Roman" w:hAnsi="Times New Roman" w:cs="Times New Roman"/>
          <w:sz w:val="28"/>
          <w:szCs w:val="28"/>
        </w:rPr>
        <w:t xml:space="preserve"> (цькуванню) в закладі освіти має бути постійним системним процесом, спрямованим на виявлення проблем та/або потенційних ризиків їх виникнення, визначення та впровадження необхідних заходів, способів, методів їхнього вирішення та/або усунення загроз, прогноз їх впливу та планування подальших дій.</w:t>
      </w:r>
    </w:p>
    <w:p w:rsidR="00117CB8" w:rsidRPr="00B45771" w:rsidRDefault="00117CB8" w:rsidP="000A24C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4C9" w:rsidRPr="00B45771" w:rsidRDefault="00041FA9" w:rsidP="000A24C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24C9" w:rsidRPr="00B45771">
        <w:rPr>
          <w:rFonts w:ascii="Times New Roman" w:hAnsi="Times New Roman" w:cs="Times New Roman"/>
          <w:sz w:val="28"/>
          <w:szCs w:val="28"/>
        </w:rPr>
        <w:t xml:space="preserve">. До завдань у сфері запобігання та протидії </w:t>
      </w:r>
      <w:proofErr w:type="spellStart"/>
      <w:r w:rsidR="000A24C9" w:rsidRPr="00B45771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="000A24C9" w:rsidRPr="00B45771">
        <w:rPr>
          <w:rFonts w:ascii="Times New Roman" w:hAnsi="Times New Roman" w:cs="Times New Roman"/>
          <w:sz w:val="28"/>
          <w:szCs w:val="28"/>
        </w:rPr>
        <w:t xml:space="preserve"> (цькуванню) в закладі освіти належать: </w:t>
      </w:r>
    </w:p>
    <w:p w:rsidR="000A24C9" w:rsidRPr="00B45771" w:rsidRDefault="000A24C9" w:rsidP="000A24C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771">
        <w:rPr>
          <w:rFonts w:ascii="Times New Roman" w:hAnsi="Times New Roman" w:cs="Times New Roman"/>
          <w:sz w:val="28"/>
          <w:szCs w:val="28"/>
        </w:rPr>
        <w:t>створення безпечного освітнього середовища в закладі освіти;</w:t>
      </w:r>
    </w:p>
    <w:p w:rsidR="000A24C9" w:rsidRPr="00B45771" w:rsidRDefault="000A24C9" w:rsidP="000A24C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771">
        <w:rPr>
          <w:rFonts w:ascii="Times New Roman" w:hAnsi="Times New Roman" w:cs="Times New Roman"/>
          <w:sz w:val="28"/>
          <w:szCs w:val="28"/>
        </w:rPr>
        <w:t xml:space="preserve">визначення стану, причин і передумов поширення </w:t>
      </w:r>
      <w:proofErr w:type="spellStart"/>
      <w:r w:rsidRPr="00B45771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B45771">
        <w:rPr>
          <w:rFonts w:ascii="Times New Roman" w:hAnsi="Times New Roman" w:cs="Times New Roman"/>
          <w:sz w:val="28"/>
          <w:szCs w:val="28"/>
        </w:rPr>
        <w:t xml:space="preserve"> (цькування) в закладах освіти;</w:t>
      </w:r>
    </w:p>
    <w:p w:rsidR="000A24C9" w:rsidRPr="00B45771" w:rsidRDefault="000A24C9" w:rsidP="000A24C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771">
        <w:rPr>
          <w:rFonts w:ascii="Times New Roman" w:hAnsi="Times New Roman" w:cs="Times New Roman"/>
          <w:sz w:val="28"/>
          <w:szCs w:val="28"/>
        </w:rPr>
        <w:lastRenderedPageBreak/>
        <w:t xml:space="preserve">підвищення рівня поінформованості учасників освітнього процесу про форми, прояви, причини та наслідки </w:t>
      </w:r>
      <w:proofErr w:type="spellStart"/>
      <w:r w:rsidRPr="00B45771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B45771">
        <w:rPr>
          <w:rFonts w:ascii="Times New Roman" w:hAnsi="Times New Roman" w:cs="Times New Roman"/>
          <w:sz w:val="28"/>
          <w:szCs w:val="28"/>
        </w:rPr>
        <w:t xml:space="preserve"> (цькування);</w:t>
      </w:r>
    </w:p>
    <w:p w:rsidR="000A24C9" w:rsidRPr="00B45771" w:rsidRDefault="000A24C9" w:rsidP="000A24C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771">
        <w:rPr>
          <w:rFonts w:ascii="Times New Roman" w:hAnsi="Times New Roman" w:cs="Times New Roman"/>
          <w:sz w:val="28"/>
          <w:szCs w:val="28"/>
        </w:rPr>
        <w:t xml:space="preserve">формування в учасників освітнього процесу нетерпимого ставлення до насильницьких моделей поведінки, усвідомлення </w:t>
      </w:r>
      <w:proofErr w:type="spellStart"/>
      <w:r w:rsidRPr="00B45771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B45771">
        <w:rPr>
          <w:rFonts w:ascii="Times New Roman" w:hAnsi="Times New Roman" w:cs="Times New Roman"/>
          <w:sz w:val="28"/>
          <w:szCs w:val="28"/>
        </w:rPr>
        <w:t xml:space="preserve"> (цькування) як порушення прав людини;</w:t>
      </w:r>
    </w:p>
    <w:p w:rsidR="000A24C9" w:rsidRPr="00B45771" w:rsidRDefault="000A24C9" w:rsidP="000A24C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771">
        <w:rPr>
          <w:rFonts w:ascii="Times New Roman" w:hAnsi="Times New Roman" w:cs="Times New Roman"/>
          <w:sz w:val="28"/>
          <w:szCs w:val="28"/>
        </w:rPr>
        <w:t xml:space="preserve">заохочення всіх учасників освітнього процесу до активного сприяння запобіганню </w:t>
      </w:r>
      <w:proofErr w:type="spellStart"/>
      <w:r w:rsidRPr="00B45771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B45771">
        <w:rPr>
          <w:rFonts w:ascii="Times New Roman" w:hAnsi="Times New Roman" w:cs="Times New Roman"/>
          <w:sz w:val="28"/>
          <w:szCs w:val="28"/>
        </w:rPr>
        <w:t xml:space="preserve"> (цькуванню).</w:t>
      </w:r>
    </w:p>
    <w:p w:rsidR="000A24C9" w:rsidRPr="00B45771" w:rsidRDefault="000A24C9" w:rsidP="000A24C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4C9" w:rsidRPr="00B45771" w:rsidRDefault="00041FA9" w:rsidP="000A24C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0A24C9" w:rsidRPr="00B45771">
        <w:rPr>
          <w:rFonts w:ascii="Times New Roman" w:hAnsi="Times New Roman" w:cs="Times New Roman"/>
          <w:sz w:val="28"/>
          <w:szCs w:val="28"/>
        </w:rPr>
        <w:t>. Принципи безпечного освітнього середовища:</w:t>
      </w:r>
    </w:p>
    <w:p w:rsidR="000A24C9" w:rsidRPr="00B45771" w:rsidRDefault="000A24C9" w:rsidP="000A24C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771">
        <w:rPr>
          <w:rFonts w:ascii="Times New Roman" w:hAnsi="Times New Roman" w:cs="Times New Roman"/>
          <w:sz w:val="28"/>
          <w:szCs w:val="28"/>
        </w:rPr>
        <w:t>недискримінації за будь-якими ознаками;</w:t>
      </w:r>
    </w:p>
    <w:p w:rsidR="000A24C9" w:rsidRPr="00B45771" w:rsidRDefault="000A24C9" w:rsidP="000A24C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771">
        <w:rPr>
          <w:rFonts w:ascii="Times New Roman" w:hAnsi="Times New Roman" w:cs="Times New Roman"/>
          <w:sz w:val="28"/>
          <w:szCs w:val="28"/>
        </w:rPr>
        <w:t>ненасильницької поведінки в міжособистісних стосунках;</w:t>
      </w:r>
    </w:p>
    <w:p w:rsidR="000A24C9" w:rsidRPr="00B45771" w:rsidRDefault="000A24C9" w:rsidP="000A24C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771">
        <w:rPr>
          <w:rFonts w:ascii="Times New Roman" w:hAnsi="Times New Roman" w:cs="Times New Roman"/>
          <w:sz w:val="28"/>
          <w:szCs w:val="28"/>
        </w:rPr>
        <w:t>психологічно безпечних та довірливих стосунків між учителем та учнем;</w:t>
      </w:r>
    </w:p>
    <w:p w:rsidR="000A24C9" w:rsidRPr="00B45771" w:rsidRDefault="000A24C9" w:rsidP="000A24C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771">
        <w:rPr>
          <w:rFonts w:ascii="Times New Roman" w:hAnsi="Times New Roman" w:cs="Times New Roman"/>
          <w:sz w:val="28"/>
          <w:szCs w:val="28"/>
        </w:rPr>
        <w:t xml:space="preserve">партнерства та </w:t>
      </w:r>
      <w:proofErr w:type="spellStart"/>
      <w:r w:rsidRPr="00B45771">
        <w:rPr>
          <w:rFonts w:ascii="Times New Roman" w:hAnsi="Times New Roman" w:cs="Times New Roman"/>
          <w:sz w:val="28"/>
          <w:szCs w:val="28"/>
        </w:rPr>
        <w:t>взаємопідтримки</w:t>
      </w:r>
      <w:proofErr w:type="spellEnd"/>
      <w:r w:rsidRPr="00B45771">
        <w:rPr>
          <w:rFonts w:ascii="Times New Roman" w:hAnsi="Times New Roman" w:cs="Times New Roman"/>
          <w:sz w:val="28"/>
          <w:szCs w:val="28"/>
        </w:rPr>
        <w:t>;</w:t>
      </w:r>
    </w:p>
    <w:p w:rsidR="000A24C9" w:rsidRPr="00B45771" w:rsidRDefault="000A24C9" w:rsidP="000A24C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771">
        <w:rPr>
          <w:rFonts w:ascii="Times New Roman" w:hAnsi="Times New Roman" w:cs="Times New Roman"/>
          <w:sz w:val="28"/>
          <w:szCs w:val="28"/>
        </w:rPr>
        <w:t>соціально-емоційної грамотності;</w:t>
      </w:r>
    </w:p>
    <w:p w:rsidR="000A24C9" w:rsidRPr="00B45771" w:rsidRDefault="000A24C9" w:rsidP="000A24C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771">
        <w:rPr>
          <w:rFonts w:ascii="Times New Roman" w:hAnsi="Times New Roman" w:cs="Times New Roman"/>
          <w:sz w:val="28"/>
          <w:szCs w:val="28"/>
        </w:rPr>
        <w:t>гендерної рівності;</w:t>
      </w:r>
    </w:p>
    <w:p w:rsidR="000A24C9" w:rsidRPr="00B45771" w:rsidRDefault="000A24C9" w:rsidP="000A24C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771">
        <w:rPr>
          <w:rFonts w:ascii="Times New Roman" w:hAnsi="Times New Roman" w:cs="Times New Roman"/>
          <w:sz w:val="28"/>
          <w:szCs w:val="28"/>
        </w:rPr>
        <w:t>участі учасників освітнього процесу в прийнятті рішень;</w:t>
      </w:r>
    </w:p>
    <w:p w:rsidR="000A24C9" w:rsidRPr="00B45771" w:rsidRDefault="000A24C9" w:rsidP="000A24C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771">
        <w:rPr>
          <w:rFonts w:ascii="Times New Roman" w:hAnsi="Times New Roman" w:cs="Times New Roman"/>
          <w:sz w:val="28"/>
          <w:szCs w:val="28"/>
        </w:rPr>
        <w:t>інші принципи.</w:t>
      </w:r>
    </w:p>
    <w:p w:rsidR="000A24C9" w:rsidRPr="00B45771" w:rsidRDefault="000A24C9" w:rsidP="000A24C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4C9" w:rsidRPr="00B45771" w:rsidRDefault="000A24C9" w:rsidP="000A24C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771">
        <w:rPr>
          <w:rFonts w:ascii="Times New Roman" w:hAnsi="Times New Roman" w:cs="Times New Roman"/>
          <w:b/>
          <w:sz w:val="28"/>
          <w:szCs w:val="28"/>
        </w:rPr>
        <w:t xml:space="preserve">II. Планування заходів, спрямованих на запобігання та протидію </w:t>
      </w:r>
      <w:proofErr w:type="spellStart"/>
      <w:r w:rsidRPr="00B45771">
        <w:rPr>
          <w:rFonts w:ascii="Times New Roman" w:hAnsi="Times New Roman" w:cs="Times New Roman"/>
          <w:b/>
          <w:sz w:val="28"/>
          <w:szCs w:val="28"/>
        </w:rPr>
        <w:t>булінгу</w:t>
      </w:r>
      <w:proofErr w:type="spellEnd"/>
      <w:r w:rsidRPr="00B45771">
        <w:rPr>
          <w:rFonts w:ascii="Times New Roman" w:hAnsi="Times New Roman" w:cs="Times New Roman"/>
          <w:b/>
          <w:sz w:val="28"/>
          <w:szCs w:val="28"/>
        </w:rPr>
        <w:t xml:space="preserve"> (цькуванню) в закладі освіти</w:t>
      </w:r>
    </w:p>
    <w:p w:rsidR="000A24C9" w:rsidRPr="00B45771" w:rsidRDefault="000A24C9" w:rsidP="000A24C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24C9" w:rsidRPr="00B45771" w:rsidRDefault="000A24C9" w:rsidP="000A24C9">
      <w:pPr>
        <w:numPr>
          <w:ilvl w:val="0"/>
          <w:numId w:val="5"/>
        </w:num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771">
        <w:rPr>
          <w:rFonts w:ascii="Times New Roman" w:hAnsi="Times New Roman" w:cs="Times New Roman"/>
          <w:sz w:val="28"/>
          <w:szCs w:val="28"/>
        </w:rPr>
        <w:t xml:space="preserve">Керівник закладу освіти в межах наданих йому повноважень забезпечує створення безпечного освітнього середовища в закладі освіти, вільного від насильства та </w:t>
      </w:r>
      <w:proofErr w:type="spellStart"/>
      <w:r w:rsidRPr="00B45771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B45771">
        <w:rPr>
          <w:rFonts w:ascii="Times New Roman" w:hAnsi="Times New Roman" w:cs="Times New Roman"/>
          <w:sz w:val="28"/>
          <w:szCs w:val="28"/>
        </w:rPr>
        <w:t xml:space="preserve"> (цькування), у тому числі розроблення, затвердження та оприлюднення плану заходів, спрямованих на запобігання та протидію </w:t>
      </w:r>
      <w:proofErr w:type="spellStart"/>
      <w:r w:rsidRPr="00B45771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B45771">
        <w:rPr>
          <w:rFonts w:ascii="Times New Roman" w:hAnsi="Times New Roman" w:cs="Times New Roman"/>
          <w:sz w:val="28"/>
          <w:szCs w:val="28"/>
        </w:rPr>
        <w:t xml:space="preserve"> (цькуванню) в закладі освіти.</w:t>
      </w:r>
    </w:p>
    <w:p w:rsidR="000A24C9" w:rsidRPr="00B45771" w:rsidRDefault="000A24C9" w:rsidP="000A24C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4C9" w:rsidRPr="00B45771" w:rsidRDefault="000A24C9" w:rsidP="000A24C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771">
        <w:rPr>
          <w:rFonts w:ascii="Times New Roman" w:hAnsi="Times New Roman" w:cs="Times New Roman"/>
          <w:sz w:val="28"/>
          <w:szCs w:val="28"/>
        </w:rPr>
        <w:t xml:space="preserve">2. Планування заходів, спрямованих на запобігання та протидію </w:t>
      </w:r>
      <w:proofErr w:type="spellStart"/>
      <w:r w:rsidRPr="00B45771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B45771">
        <w:rPr>
          <w:rFonts w:ascii="Times New Roman" w:hAnsi="Times New Roman" w:cs="Times New Roman"/>
          <w:sz w:val="28"/>
          <w:szCs w:val="28"/>
        </w:rPr>
        <w:t xml:space="preserve"> (цькуванню) в закладі освіти здійснюється за результатами моніторингу стану фізичного та емоційно-психологічного середовища, з'ясування причин, ризиків виникнення випадків </w:t>
      </w:r>
      <w:proofErr w:type="spellStart"/>
      <w:r w:rsidRPr="00B45771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B45771">
        <w:rPr>
          <w:rFonts w:ascii="Times New Roman" w:hAnsi="Times New Roman" w:cs="Times New Roman"/>
          <w:sz w:val="28"/>
          <w:szCs w:val="28"/>
        </w:rPr>
        <w:t xml:space="preserve"> (цькування) в окремому закладі освіти.</w:t>
      </w:r>
    </w:p>
    <w:p w:rsidR="000A24C9" w:rsidRPr="00B45771" w:rsidRDefault="000A24C9" w:rsidP="000A24C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4C9" w:rsidRPr="00B45771" w:rsidRDefault="000A24C9" w:rsidP="000A24C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771">
        <w:rPr>
          <w:rFonts w:ascii="Times New Roman" w:hAnsi="Times New Roman" w:cs="Times New Roman"/>
          <w:sz w:val="28"/>
          <w:szCs w:val="28"/>
        </w:rPr>
        <w:t>3. Заплановані заходи повинні:</w:t>
      </w:r>
    </w:p>
    <w:p w:rsidR="000A24C9" w:rsidRPr="00B45771" w:rsidRDefault="000A24C9" w:rsidP="000A24C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771">
        <w:rPr>
          <w:rFonts w:ascii="Times New Roman" w:hAnsi="Times New Roman" w:cs="Times New Roman"/>
          <w:sz w:val="28"/>
          <w:szCs w:val="28"/>
        </w:rPr>
        <w:t>спрямовуватись на задоволення потреб окремого закладу освіти у створенні безпечного освітнього середовища;</w:t>
      </w:r>
    </w:p>
    <w:p w:rsidR="000A24C9" w:rsidRPr="00B45771" w:rsidRDefault="000A24C9" w:rsidP="000A24C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771">
        <w:rPr>
          <w:rFonts w:ascii="Times New Roman" w:hAnsi="Times New Roman" w:cs="Times New Roman"/>
          <w:sz w:val="28"/>
          <w:szCs w:val="28"/>
        </w:rPr>
        <w:t>мати вимірювані показники ефективності;</w:t>
      </w:r>
    </w:p>
    <w:p w:rsidR="000A24C9" w:rsidRPr="00B45771" w:rsidRDefault="000A24C9" w:rsidP="000A24C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771">
        <w:rPr>
          <w:rFonts w:ascii="Times New Roman" w:hAnsi="Times New Roman" w:cs="Times New Roman"/>
          <w:sz w:val="28"/>
          <w:szCs w:val="28"/>
        </w:rPr>
        <w:t>бути індивідуальними та груповими;</w:t>
      </w:r>
    </w:p>
    <w:p w:rsidR="000A24C9" w:rsidRPr="00B45771" w:rsidRDefault="000A24C9" w:rsidP="000A24C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771">
        <w:rPr>
          <w:rFonts w:ascii="Times New Roman" w:hAnsi="Times New Roman" w:cs="Times New Roman"/>
          <w:sz w:val="28"/>
          <w:szCs w:val="28"/>
        </w:rPr>
        <w:t>розповсюджуватись на всіх учасників освітнього процесу.</w:t>
      </w:r>
    </w:p>
    <w:p w:rsidR="000A24C9" w:rsidRPr="00B45771" w:rsidRDefault="000A24C9" w:rsidP="000A24C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5771">
        <w:rPr>
          <w:rFonts w:ascii="Times New Roman" w:hAnsi="Times New Roman" w:cs="Times New Roman"/>
          <w:sz w:val="28"/>
          <w:szCs w:val="28"/>
        </w:rPr>
        <w:t>Антибулінгова</w:t>
      </w:r>
      <w:proofErr w:type="spellEnd"/>
      <w:r w:rsidRPr="00B45771">
        <w:rPr>
          <w:rFonts w:ascii="Times New Roman" w:hAnsi="Times New Roman" w:cs="Times New Roman"/>
          <w:sz w:val="28"/>
          <w:szCs w:val="28"/>
        </w:rPr>
        <w:t xml:space="preserve"> складова змісту запланованих заходів повинна бути відображена такими темами: </w:t>
      </w:r>
    </w:p>
    <w:p w:rsidR="000A24C9" w:rsidRPr="00B45771" w:rsidRDefault="000A24C9" w:rsidP="000A24C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771">
        <w:rPr>
          <w:rFonts w:ascii="Times New Roman" w:hAnsi="Times New Roman" w:cs="Times New Roman"/>
          <w:sz w:val="28"/>
          <w:szCs w:val="28"/>
        </w:rPr>
        <w:t xml:space="preserve">явище </w:t>
      </w:r>
      <w:proofErr w:type="spellStart"/>
      <w:r w:rsidRPr="00B45771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B45771">
        <w:rPr>
          <w:rFonts w:ascii="Times New Roman" w:hAnsi="Times New Roman" w:cs="Times New Roman"/>
          <w:sz w:val="28"/>
          <w:szCs w:val="28"/>
        </w:rPr>
        <w:t xml:space="preserve">, його вплив на всіх учасників освітнього процесу; </w:t>
      </w:r>
    </w:p>
    <w:p w:rsidR="000A24C9" w:rsidRPr="00B45771" w:rsidRDefault="000A24C9" w:rsidP="000A24C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5771">
        <w:rPr>
          <w:rFonts w:ascii="Times New Roman" w:hAnsi="Times New Roman" w:cs="Times New Roman"/>
          <w:sz w:val="28"/>
          <w:szCs w:val="28"/>
        </w:rPr>
        <w:t>антибулінгове</w:t>
      </w:r>
      <w:proofErr w:type="spellEnd"/>
      <w:r w:rsidRPr="00B45771">
        <w:rPr>
          <w:rFonts w:ascii="Times New Roman" w:hAnsi="Times New Roman" w:cs="Times New Roman"/>
          <w:sz w:val="28"/>
          <w:szCs w:val="28"/>
        </w:rPr>
        <w:t xml:space="preserve"> законодавство;</w:t>
      </w:r>
    </w:p>
    <w:p w:rsidR="000A24C9" w:rsidRPr="00B45771" w:rsidRDefault="000A24C9" w:rsidP="000A24C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771">
        <w:rPr>
          <w:rFonts w:ascii="Times New Roman" w:hAnsi="Times New Roman" w:cs="Times New Roman"/>
          <w:sz w:val="28"/>
          <w:szCs w:val="28"/>
        </w:rPr>
        <w:t xml:space="preserve">відновлення та нормалізації психологічного клімату у колективі після випадку </w:t>
      </w:r>
      <w:proofErr w:type="spellStart"/>
      <w:r w:rsidRPr="00B45771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B45771">
        <w:rPr>
          <w:rFonts w:ascii="Times New Roman" w:hAnsi="Times New Roman" w:cs="Times New Roman"/>
          <w:sz w:val="28"/>
          <w:szCs w:val="28"/>
        </w:rPr>
        <w:t xml:space="preserve"> (цькування);</w:t>
      </w:r>
    </w:p>
    <w:p w:rsidR="000A24C9" w:rsidRPr="00B45771" w:rsidRDefault="000A24C9" w:rsidP="000A24C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771">
        <w:rPr>
          <w:rFonts w:ascii="Times New Roman" w:hAnsi="Times New Roman" w:cs="Times New Roman"/>
          <w:sz w:val="28"/>
          <w:szCs w:val="28"/>
        </w:rPr>
        <w:t>інші теми.</w:t>
      </w:r>
    </w:p>
    <w:p w:rsidR="000A24C9" w:rsidRPr="00B45771" w:rsidRDefault="000A24C9" w:rsidP="000A24C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4C9" w:rsidRPr="00B45771" w:rsidRDefault="000A24C9" w:rsidP="000A24C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771">
        <w:rPr>
          <w:rFonts w:ascii="Times New Roman" w:hAnsi="Times New Roman" w:cs="Times New Roman"/>
          <w:sz w:val="28"/>
          <w:szCs w:val="28"/>
        </w:rPr>
        <w:t xml:space="preserve">4. Заходи можуть відбуватись у будь-якій формі: зустрічі, бесіди, консультації, лекції, круглі столи, тренінги, тематичні заходи, конкурси, спільні перегляди та обговорення тематичних </w:t>
      </w:r>
      <w:proofErr w:type="spellStart"/>
      <w:r w:rsidRPr="00B45771">
        <w:rPr>
          <w:rFonts w:ascii="Times New Roman" w:hAnsi="Times New Roman" w:cs="Times New Roman"/>
          <w:sz w:val="28"/>
          <w:szCs w:val="28"/>
        </w:rPr>
        <w:t>відеосюжетів</w:t>
      </w:r>
      <w:proofErr w:type="spellEnd"/>
      <w:r w:rsidRPr="00B45771">
        <w:rPr>
          <w:rFonts w:ascii="Times New Roman" w:hAnsi="Times New Roman" w:cs="Times New Roman"/>
          <w:sz w:val="28"/>
          <w:szCs w:val="28"/>
        </w:rPr>
        <w:t>, літературних творів, матеріалів ЗМІ, особистого досвіду, метод запрошених гостей, кейс стаді, рольова гра, метод проектів та інші організаційні форми.</w:t>
      </w:r>
    </w:p>
    <w:p w:rsidR="000A24C9" w:rsidRPr="00B45771" w:rsidRDefault="000A24C9" w:rsidP="000A24C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4C9" w:rsidRPr="00B45771" w:rsidRDefault="000A24C9" w:rsidP="000A24C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771">
        <w:rPr>
          <w:rFonts w:ascii="Times New Roman" w:hAnsi="Times New Roman" w:cs="Times New Roman"/>
          <w:sz w:val="28"/>
          <w:szCs w:val="28"/>
        </w:rPr>
        <w:t xml:space="preserve">5. План заходів, спрямованих на запобігання та протидію </w:t>
      </w:r>
      <w:proofErr w:type="spellStart"/>
      <w:r w:rsidRPr="00B45771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B45771">
        <w:rPr>
          <w:rFonts w:ascii="Times New Roman" w:hAnsi="Times New Roman" w:cs="Times New Roman"/>
          <w:sz w:val="28"/>
          <w:szCs w:val="28"/>
        </w:rPr>
        <w:t xml:space="preserve"> (цькуванню) в закладі освіти розробляється напередодні навчального року з урахуванням пропозицій територіальних органів (підрозділів):</w:t>
      </w:r>
    </w:p>
    <w:p w:rsidR="000A24C9" w:rsidRPr="00B45771" w:rsidRDefault="000A24C9" w:rsidP="000A24C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771">
        <w:rPr>
          <w:rFonts w:ascii="Times New Roman" w:hAnsi="Times New Roman" w:cs="Times New Roman"/>
          <w:sz w:val="28"/>
          <w:szCs w:val="28"/>
        </w:rPr>
        <w:t>Національної поліції України;</w:t>
      </w:r>
    </w:p>
    <w:p w:rsidR="000A24C9" w:rsidRPr="00B45771" w:rsidRDefault="000A24C9" w:rsidP="000A24C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771">
        <w:rPr>
          <w:rFonts w:ascii="Times New Roman" w:hAnsi="Times New Roman" w:cs="Times New Roman"/>
          <w:sz w:val="28"/>
          <w:szCs w:val="28"/>
        </w:rPr>
        <w:t>центрального органу виконавчої влади, що забезпечує формування та реалізує державну політику у сфері охорони здоров’я;</w:t>
      </w:r>
    </w:p>
    <w:p w:rsidR="000A24C9" w:rsidRPr="00B45771" w:rsidRDefault="000A24C9" w:rsidP="000A24C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771">
        <w:rPr>
          <w:rFonts w:ascii="Times New Roman" w:hAnsi="Times New Roman" w:cs="Times New Roman"/>
          <w:sz w:val="28"/>
          <w:szCs w:val="28"/>
        </w:rPr>
        <w:t>головного органу у системі центральних органів виконавчої влади, що забезпечує формування та реалізує державну правову політику;</w:t>
      </w:r>
    </w:p>
    <w:p w:rsidR="000A24C9" w:rsidRPr="00B45771" w:rsidRDefault="000A24C9" w:rsidP="000A24C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771">
        <w:rPr>
          <w:rFonts w:ascii="Times New Roman" w:hAnsi="Times New Roman" w:cs="Times New Roman"/>
          <w:sz w:val="28"/>
          <w:szCs w:val="28"/>
        </w:rPr>
        <w:t>служб у справах дітей та центрів соціальних служб для сім’ї, дітей та молоді.</w:t>
      </w:r>
    </w:p>
    <w:p w:rsidR="000A24C9" w:rsidRPr="00B45771" w:rsidRDefault="000A24C9" w:rsidP="000A24C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4C9" w:rsidRPr="00B45771" w:rsidRDefault="000A24C9" w:rsidP="000A24C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771">
        <w:rPr>
          <w:rFonts w:ascii="Times New Roman" w:hAnsi="Times New Roman" w:cs="Times New Roman"/>
          <w:sz w:val="28"/>
          <w:szCs w:val="28"/>
        </w:rPr>
        <w:t xml:space="preserve">6. Протягом навчального року керівник закладу освіти забезпечує проведення моніторингу ефективності виконання плану заходів, спрямованих на запобігання та протидію </w:t>
      </w:r>
      <w:proofErr w:type="spellStart"/>
      <w:r w:rsidRPr="00B45771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B45771">
        <w:rPr>
          <w:rFonts w:ascii="Times New Roman" w:hAnsi="Times New Roman" w:cs="Times New Roman"/>
          <w:sz w:val="28"/>
          <w:szCs w:val="28"/>
        </w:rPr>
        <w:t xml:space="preserve"> (цькуванню) в закладі освіти та внесення до нього змін (за потреби, але не рідше двох разів на навчальний рік). </w:t>
      </w:r>
    </w:p>
    <w:p w:rsidR="000A24C9" w:rsidRPr="00B45771" w:rsidRDefault="000A24C9" w:rsidP="000A24C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771">
        <w:rPr>
          <w:rFonts w:ascii="Times New Roman" w:hAnsi="Times New Roman" w:cs="Times New Roman"/>
          <w:sz w:val="28"/>
          <w:szCs w:val="28"/>
        </w:rPr>
        <w:t xml:space="preserve">Моніторинг ефективності виконання плану заходів, спрямованих на запобігання та протидію </w:t>
      </w:r>
      <w:proofErr w:type="spellStart"/>
      <w:r w:rsidRPr="00B45771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B45771">
        <w:rPr>
          <w:rFonts w:ascii="Times New Roman" w:hAnsi="Times New Roman" w:cs="Times New Roman"/>
          <w:sz w:val="28"/>
          <w:szCs w:val="28"/>
        </w:rPr>
        <w:t xml:space="preserve"> (цькуванню) в закладі освіти здійснюється шляхом:</w:t>
      </w:r>
    </w:p>
    <w:p w:rsidR="000A24C9" w:rsidRPr="00B45771" w:rsidRDefault="000A24C9" w:rsidP="000A24C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771">
        <w:rPr>
          <w:rFonts w:ascii="Times New Roman" w:hAnsi="Times New Roman" w:cs="Times New Roman"/>
          <w:sz w:val="28"/>
          <w:szCs w:val="28"/>
        </w:rPr>
        <w:t xml:space="preserve">індивідуального оцінювання учасників освітнього процесу (анкетування, інтерв’ю, інші форми опитування, застосування проективних методик, </w:t>
      </w:r>
      <w:proofErr w:type="spellStart"/>
      <w:r w:rsidRPr="00B45771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Pr="00B45771">
        <w:rPr>
          <w:rFonts w:ascii="Times New Roman" w:hAnsi="Times New Roman" w:cs="Times New Roman"/>
          <w:sz w:val="28"/>
          <w:szCs w:val="28"/>
        </w:rPr>
        <w:t xml:space="preserve"> тощо);</w:t>
      </w:r>
    </w:p>
    <w:p w:rsidR="000A24C9" w:rsidRPr="00B45771" w:rsidRDefault="000A24C9" w:rsidP="000A24C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771">
        <w:rPr>
          <w:rFonts w:ascii="Times New Roman" w:hAnsi="Times New Roman" w:cs="Times New Roman"/>
          <w:sz w:val="28"/>
          <w:szCs w:val="28"/>
        </w:rPr>
        <w:t>групового оцінювання (спостереження, аналіз інституційної діяльності закладу освіти тощо).</w:t>
      </w:r>
    </w:p>
    <w:p w:rsidR="000A24C9" w:rsidRPr="00B45771" w:rsidRDefault="000A24C9" w:rsidP="000A24C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4C9" w:rsidRPr="00B45771" w:rsidRDefault="000A24C9" w:rsidP="000A24C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771">
        <w:rPr>
          <w:rFonts w:ascii="Times New Roman" w:hAnsi="Times New Roman" w:cs="Times New Roman"/>
          <w:b/>
          <w:sz w:val="28"/>
          <w:szCs w:val="28"/>
        </w:rPr>
        <w:t xml:space="preserve">III. Заходи запобігання та протидії </w:t>
      </w:r>
      <w:proofErr w:type="spellStart"/>
      <w:r w:rsidRPr="00B45771">
        <w:rPr>
          <w:rFonts w:ascii="Times New Roman" w:hAnsi="Times New Roman" w:cs="Times New Roman"/>
          <w:b/>
          <w:sz w:val="28"/>
          <w:szCs w:val="28"/>
        </w:rPr>
        <w:t>булінгу</w:t>
      </w:r>
      <w:proofErr w:type="spellEnd"/>
      <w:r w:rsidRPr="00B45771">
        <w:rPr>
          <w:rFonts w:ascii="Times New Roman" w:hAnsi="Times New Roman" w:cs="Times New Roman"/>
          <w:b/>
          <w:sz w:val="28"/>
          <w:szCs w:val="28"/>
        </w:rPr>
        <w:t xml:space="preserve"> (цькуванню) в закладах освіти.</w:t>
      </w:r>
    </w:p>
    <w:p w:rsidR="000A24C9" w:rsidRPr="00B45771" w:rsidRDefault="000A24C9" w:rsidP="000A24C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4C9" w:rsidRPr="00B45771" w:rsidRDefault="000A24C9" w:rsidP="000A24C9">
      <w:pPr>
        <w:numPr>
          <w:ilvl w:val="0"/>
          <w:numId w:val="4"/>
        </w:num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771">
        <w:rPr>
          <w:rFonts w:ascii="Times New Roman" w:hAnsi="Times New Roman" w:cs="Times New Roman"/>
          <w:sz w:val="28"/>
          <w:szCs w:val="28"/>
        </w:rPr>
        <w:t xml:space="preserve">Заходи запобігання та протидії </w:t>
      </w:r>
      <w:proofErr w:type="spellStart"/>
      <w:r w:rsidRPr="00B45771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B45771">
        <w:rPr>
          <w:rFonts w:ascii="Times New Roman" w:hAnsi="Times New Roman" w:cs="Times New Roman"/>
          <w:sz w:val="28"/>
          <w:szCs w:val="28"/>
        </w:rPr>
        <w:t xml:space="preserve"> (цькуванню) в закладах освіти спрямовуються на створення безпечного емоційно-психологічного та</w:t>
      </w:r>
      <w:r w:rsidRPr="00B45771">
        <w:rPr>
          <w:rFonts w:ascii="Times New Roman" w:hAnsi="Times New Roman" w:cs="Times New Roman"/>
        </w:rPr>
        <w:t xml:space="preserve"> </w:t>
      </w:r>
      <w:r w:rsidRPr="00B45771">
        <w:rPr>
          <w:rFonts w:ascii="Times New Roman" w:hAnsi="Times New Roman" w:cs="Times New Roman"/>
          <w:sz w:val="28"/>
          <w:szCs w:val="28"/>
        </w:rPr>
        <w:t xml:space="preserve">фізичного середовища для учасників освітнього процесу. </w:t>
      </w:r>
    </w:p>
    <w:p w:rsidR="000A24C9" w:rsidRPr="00B45771" w:rsidRDefault="000A24C9" w:rsidP="000A24C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24C9" w:rsidRPr="00B45771" w:rsidRDefault="000A24C9" w:rsidP="000A24C9">
      <w:pPr>
        <w:numPr>
          <w:ilvl w:val="0"/>
          <w:numId w:val="4"/>
        </w:num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771">
        <w:rPr>
          <w:rFonts w:ascii="Times New Roman" w:hAnsi="Times New Roman" w:cs="Times New Roman"/>
          <w:sz w:val="28"/>
          <w:szCs w:val="28"/>
        </w:rPr>
        <w:t xml:space="preserve">До заходів, спрямованих на створення безпечного емоційно-психологічного середовища для учасників освітнього процесу, входять заходи для розвитку емоційних, громадянських та соціальних </w:t>
      </w:r>
      <w:proofErr w:type="spellStart"/>
      <w:r w:rsidRPr="00B45771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B45771">
        <w:rPr>
          <w:rFonts w:ascii="Times New Roman" w:hAnsi="Times New Roman" w:cs="Times New Roman"/>
          <w:sz w:val="28"/>
          <w:szCs w:val="28"/>
        </w:rPr>
        <w:t>, а саме:</w:t>
      </w:r>
    </w:p>
    <w:p w:rsidR="000A24C9" w:rsidRPr="00B45771" w:rsidRDefault="000A24C9" w:rsidP="000A24C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771">
        <w:rPr>
          <w:rFonts w:ascii="Times New Roman" w:hAnsi="Times New Roman" w:cs="Times New Roman"/>
          <w:sz w:val="28"/>
          <w:szCs w:val="28"/>
        </w:rPr>
        <w:t xml:space="preserve">соціально-емоційної грамотності; </w:t>
      </w:r>
    </w:p>
    <w:p w:rsidR="000A24C9" w:rsidRPr="00B45771" w:rsidRDefault="000A24C9" w:rsidP="000A24C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771">
        <w:rPr>
          <w:rFonts w:ascii="Times New Roman" w:hAnsi="Times New Roman" w:cs="Times New Roman"/>
          <w:sz w:val="28"/>
          <w:szCs w:val="28"/>
        </w:rPr>
        <w:t>навичок самопізнання, саморозвитку та емпатії;</w:t>
      </w:r>
    </w:p>
    <w:p w:rsidR="000A24C9" w:rsidRPr="00B45771" w:rsidRDefault="000A24C9" w:rsidP="000A24C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771">
        <w:rPr>
          <w:rFonts w:ascii="Times New Roman" w:hAnsi="Times New Roman" w:cs="Times New Roman"/>
          <w:sz w:val="28"/>
          <w:szCs w:val="28"/>
        </w:rPr>
        <w:t>розуміння та сприйняття цінності прав та свобод людини, вміння відстоювати свої права та права інших;</w:t>
      </w:r>
    </w:p>
    <w:p w:rsidR="000A24C9" w:rsidRPr="00B45771" w:rsidRDefault="000A24C9" w:rsidP="000A24C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771">
        <w:rPr>
          <w:rFonts w:ascii="Times New Roman" w:hAnsi="Times New Roman" w:cs="Times New Roman"/>
          <w:sz w:val="28"/>
          <w:szCs w:val="28"/>
        </w:rPr>
        <w:lastRenderedPageBreak/>
        <w:t>розуміння та сприйняття принципів рівності та недискримінації, поваги до гідності людини, толерантності, соціальної справедливості, доброчесності, вміння втілювати їх у власні моделі поведінки, здатність попереджувати та розв’язувати конфлікти;</w:t>
      </w:r>
    </w:p>
    <w:p w:rsidR="000A24C9" w:rsidRPr="00B45771" w:rsidRDefault="000A24C9" w:rsidP="000A24C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771">
        <w:rPr>
          <w:rFonts w:ascii="Times New Roman" w:hAnsi="Times New Roman" w:cs="Times New Roman"/>
          <w:sz w:val="28"/>
          <w:szCs w:val="28"/>
        </w:rPr>
        <w:t>відповідального ставлення до своїх громадянських прав і обов’язків, пов’язаних з участю в суспільно-політичному житті;</w:t>
      </w:r>
    </w:p>
    <w:p w:rsidR="000A24C9" w:rsidRPr="00B45771" w:rsidRDefault="000A24C9" w:rsidP="000A24C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771">
        <w:rPr>
          <w:rFonts w:ascii="Times New Roman" w:hAnsi="Times New Roman" w:cs="Times New Roman"/>
          <w:sz w:val="28"/>
          <w:szCs w:val="28"/>
        </w:rPr>
        <w:t>здатності формувати та аргументовано відстоювати власну позицію, поважаючи відмінні думки/позиції, якщо вони не порушують прав та гідності інших осіб;</w:t>
      </w:r>
    </w:p>
    <w:p w:rsidR="000A24C9" w:rsidRPr="00B45771" w:rsidRDefault="000A24C9" w:rsidP="000A24C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771">
        <w:rPr>
          <w:rFonts w:ascii="Times New Roman" w:hAnsi="Times New Roman" w:cs="Times New Roman"/>
          <w:sz w:val="28"/>
          <w:szCs w:val="28"/>
        </w:rPr>
        <w:t>здатності критично аналізувати інформацію, розглядати питання з різних позицій, приймати обґрунтовані рішення;</w:t>
      </w:r>
    </w:p>
    <w:p w:rsidR="000A24C9" w:rsidRPr="00B45771" w:rsidRDefault="000A24C9" w:rsidP="000A24C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771">
        <w:rPr>
          <w:rFonts w:ascii="Times New Roman" w:hAnsi="Times New Roman" w:cs="Times New Roman"/>
          <w:sz w:val="28"/>
          <w:szCs w:val="28"/>
        </w:rPr>
        <w:t>здатності до соціальної комунікації та вміння співпрацювати для розв’язання проблем спільнот різного рівня, зокрема шляхом волонтерської діяльності.</w:t>
      </w:r>
    </w:p>
    <w:p w:rsidR="000A24C9" w:rsidRPr="00B45771" w:rsidRDefault="000A24C9" w:rsidP="000A24C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4C9" w:rsidRPr="00B45771" w:rsidRDefault="000A24C9" w:rsidP="000A24C9">
      <w:pPr>
        <w:numPr>
          <w:ilvl w:val="0"/>
          <w:numId w:val="4"/>
        </w:num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771">
        <w:rPr>
          <w:rFonts w:ascii="Times New Roman" w:hAnsi="Times New Roman" w:cs="Times New Roman"/>
          <w:sz w:val="28"/>
          <w:szCs w:val="28"/>
        </w:rPr>
        <w:t>До заходів, спрямованих на створення безпечного фізичного середовища для учасників освітнього процесу в закладі освіти, входять:</w:t>
      </w:r>
    </w:p>
    <w:p w:rsidR="000A24C9" w:rsidRPr="00B45771" w:rsidRDefault="000A24C9" w:rsidP="000A24C9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24C9" w:rsidRPr="00B45771" w:rsidRDefault="000A24C9" w:rsidP="000A24C9">
      <w:p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771">
        <w:rPr>
          <w:rFonts w:ascii="Times New Roman" w:hAnsi="Times New Roman" w:cs="Times New Roman"/>
          <w:sz w:val="28"/>
          <w:szCs w:val="28"/>
        </w:rPr>
        <w:t>організація належних заходів безпеки (пост охорони, відеоспостереженням за місцями загального користування тощо);</w:t>
      </w:r>
    </w:p>
    <w:p w:rsidR="000A24C9" w:rsidRPr="00B45771" w:rsidRDefault="000A24C9" w:rsidP="000A24C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771">
        <w:rPr>
          <w:rFonts w:ascii="Times New Roman" w:hAnsi="Times New Roman" w:cs="Times New Roman"/>
          <w:sz w:val="28"/>
          <w:szCs w:val="28"/>
        </w:rPr>
        <w:t>використання інструментів контролю за безпечним користуванням мережею Інтернет учасниками освітнього процесу під час освітнього процесу;</w:t>
      </w:r>
    </w:p>
    <w:p w:rsidR="000A24C9" w:rsidRPr="00B45771" w:rsidRDefault="000A24C9" w:rsidP="000A24C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771">
        <w:rPr>
          <w:rFonts w:ascii="Times New Roman" w:hAnsi="Times New Roman" w:cs="Times New Roman"/>
          <w:sz w:val="28"/>
          <w:szCs w:val="28"/>
        </w:rPr>
        <w:t>контроль за використанням засобів електронних комунікацій здобувачами освіти під час освітнього процесу;</w:t>
      </w:r>
    </w:p>
    <w:p w:rsidR="000A24C9" w:rsidRPr="00B45771" w:rsidRDefault="000A24C9" w:rsidP="000A24C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771">
        <w:rPr>
          <w:rFonts w:ascii="Times New Roman" w:hAnsi="Times New Roman" w:cs="Times New Roman"/>
          <w:sz w:val="28"/>
          <w:szCs w:val="28"/>
        </w:rPr>
        <w:t>інші заходи.</w:t>
      </w:r>
    </w:p>
    <w:p w:rsidR="000A24C9" w:rsidRPr="00B45771" w:rsidRDefault="000A24C9" w:rsidP="000A24C9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4C9" w:rsidRPr="00B45771" w:rsidRDefault="000A24C9" w:rsidP="000A24C9">
      <w:pPr>
        <w:numPr>
          <w:ilvl w:val="0"/>
          <w:numId w:val="4"/>
        </w:num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771">
        <w:rPr>
          <w:rFonts w:ascii="Times New Roman" w:hAnsi="Times New Roman" w:cs="Times New Roman"/>
          <w:sz w:val="28"/>
          <w:szCs w:val="28"/>
        </w:rPr>
        <w:t xml:space="preserve">Педагогічні, науково-педагогічні працівники закладу освіти повинні не рідше ніж один раз на п’ять років проходити підвищення кваліфікації у сфері емоційних, громадянських та соціальних </w:t>
      </w:r>
      <w:proofErr w:type="spellStart"/>
      <w:r w:rsidRPr="00B45771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B45771">
        <w:rPr>
          <w:rFonts w:ascii="Times New Roman" w:hAnsi="Times New Roman" w:cs="Times New Roman"/>
          <w:sz w:val="28"/>
          <w:szCs w:val="28"/>
        </w:rPr>
        <w:t xml:space="preserve">, з вдосконалення знань, вмінь та навичок запобігання та протидії </w:t>
      </w:r>
      <w:proofErr w:type="spellStart"/>
      <w:r w:rsidRPr="00B45771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B45771">
        <w:rPr>
          <w:rFonts w:ascii="Times New Roman" w:hAnsi="Times New Roman" w:cs="Times New Roman"/>
          <w:sz w:val="28"/>
          <w:szCs w:val="28"/>
        </w:rPr>
        <w:t xml:space="preserve"> (цькування) в закладах освіти.</w:t>
      </w:r>
    </w:p>
    <w:p w:rsidR="000A24C9" w:rsidRDefault="000A24C9" w:rsidP="00EB3FB2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24C9" w:rsidRDefault="000A24C9" w:rsidP="00EB3FB2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24C9" w:rsidRDefault="000A24C9" w:rsidP="00EB3FB2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24C9" w:rsidRDefault="000A24C9" w:rsidP="00EB3FB2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24C9" w:rsidRDefault="000A24C9" w:rsidP="00EB3FB2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24C9" w:rsidRDefault="000A24C9" w:rsidP="00EB3FB2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24C9" w:rsidRDefault="000A24C9" w:rsidP="00EB3FB2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FB2" w:rsidRPr="00EB3FB2" w:rsidRDefault="00EB3FB2" w:rsidP="00EB6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B3FB2" w:rsidRPr="00EB3FB2" w:rsidSect="00117CB8">
      <w:headerReference w:type="default" r:id="rId9"/>
      <w:pgSz w:w="11906" w:h="16838"/>
      <w:pgMar w:top="567" w:right="851" w:bottom="993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6B4" w:rsidRDefault="006F76B4" w:rsidP="00BD6E9E">
      <w:pPr>
        <w:spacing w:after="0" w:line="240" w:lineRule="auto"/>
      </w:pPr>
      <w:r>
        <w:separator/>
      </w:r>
    </w:p>
  </w:endnote>
  <w:endnote w:type="continuationSeparator" w:id="0">
    <w:p w:rsidR="006F76B4" w:rsidRDefault="006F76B4" w:rsidP="00BD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6B4" w:rsidRDefault="006F76B4" w:rsidP="00BD6E9E">
      <w:pPr>
        <w:spacing w:after="0" w:line="240" w:lineRule="auto"/>
      </w:pPr>
      <w:r>
        <w:separator/>
      </w:r>
    </w:p>
  </w:footnote>
  <w:footnote w:type="continuationSeparator" w:id="0">
    <w:p w:rsidR="006F76B4" w:rsidRDefault="006F76B4" w:rsidP="00BD6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18231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17CB8" w:rsidRDefault="00117CB8" w:rsidP="00931DCE">
        <w:pPr>
          <w:pStyle w:val="aa"/>
          <w:rPr>
            <w:rFonts w:ascii="Times New Roman" w:hAnsi="Times New Roman" w:cs="Times New Roman"/>
            <w:sz w:val="28"/>
            <w:szCs w:val="28"/>
          </w:rPr>
        </w:pPr>
      </w:p>
      <w:p w:rsidR="00117CB8" w:rsidRPr="00117CB8" w:rsidRDefault="006F76B4" w:rsidP="00117CB8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35E"/>
    <w:multiLevelType w:val="hybridMultilevel"/>
    <w:tmpl w:val="D988C474"/>
    <w:lvl w:ilvl="0" w:tplc="1FCC3D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1248E9"/>
    <w:multiLevelType w:val="multilevel"/>
    <w:tmpl w:val="A9B40B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05DC761A"/>
    <w:multiLevelType w:val="hybridMultilevel"/>
    <w:tmpl w:val="6F0A6E3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9295F"/>
    <w:multiLevelType w:val="hybridMultilevel"/>
    <w:tmpl w:val="50F2D4D0"/>
    <w:lvl w:ilvl="0" w:tplc="D52484FC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76404D"/>
    <w:multiLevelType w:val="multilevel"/>
    <w:tmpl w:val="1E586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551A2B"/>
    <w:multiLevelType w:val="hybridMultilevel"/>
    <w:tmpl w:val="5590E73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6E851EC"/>
    <w:multiLevelType w:val="hybridMultilevel"/>
    <w:tmpl w:val="F4C6139E"/>
    <w:lvl w:ilvl="0" w:tplc="692630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F18C8"/>
    <w:multiLevelType w:val="hybridMultilevel"/>
    <w:tmpl w:val="33968750"/>
    <w:lvl w:ilvl="0" w:tplc="8D7074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9D21429"/>
    <w:multiLevelType w:val="hybridMultilevel"/>
    <w:tmpl w:val="5A34CE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C6784"/>
    <w:multiLevelType w:val="hybridMultilevel"/>
    <w:tmpl w:val="EEE42FF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A60871"/>
    <w:multiLevelType w:val="multilevel"/>
    <w:tmpl w:val="0D70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DB0665"/>
    <w:multiLevelType w:val="multilevel"/>
    <w:tmpl w:val="FD24D6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AB83940"/>
    <w:multiLevelType w:val="hybridMultilevel"/>
    <w:tmpl w:val="AAAC0BCE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7"/>
  </w:num>
  <w:num w:numId="5">
    <w:abstractNumId w:val="0"/>
  </w:num>
  <w:num w:numId="6">
    <w:abstractNumId w:val="10"/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6"/>
  </w:num>
  <w:num w:numId="9">
    <w:abstractNumId w:val="9"/>
  </w:num>
  <w:num w:numId="10">
    <w:abstractNumId w:val="3"/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DFB"/>
    <w:rsid w:val="00041FA9"/>
    <w:rsid w:val="000634A2"/>
    <w:rsid w:val="000A24C9"/>
    <w:rsid w:val="000D6937"/>
    <w:rsid w:val="000F62F0"/>
    <w:rsid w:val="00117CB8"/>
    <w:rsid w:val="001332F3"/>
    <w:rsid w:val="00193D0D"/>
    <w:rsid w:val="00255B61"/>
    <w:rsid w:val="003126E6"/>
    <w:rsid w:val="003516C8"/>
    <w:rsid w:val="003952EB"/>
    <w:rsid w:val="003C0183"/>
    <w:rsid w:val="003D2361"/>
    <w:rsid w:val="00444693"/>
    <w:rsid w:val="004B488D"/>
    <w:rsid w:val="004C67EE"/>
    <w:rsid w:val="004F1118"/>
    <w:rsid w:val="004F2DFB"/>
    <w:rsid w:val="00507E11"/>
    <w:rsid w:val="005374E2"/>
    <w:rsid w:val="00596852"/>
    <w:rsid w:val="005B2881"/>
    <w:rsid w:val="005C0E09"/>
    <w:rsid w:val="005C693A"/>
    <w:rsid w:val="00681B0F"/>
    <w:rsid w:val="006A6E60"/>
    <w:rsid w:val="006C3823"/>
    <w:rsid w:val="006C4AE3"/>
    <w:rsid w:val="006F1C48"/>
    <w:rsid w:val="006F76B4"/>
    <w:rsid w:val="00745336"/>
    <w:rsid w:val="00757CC4"/>
    <w:rsid w:val="007A35A3"/>
    <w:rsid w:val="00816ED6"/>
    <w:rsid w:val="0083337A"/>
    <w:rsid w:val="00892DB0"/>
    <w:rsid w:val="008C4EAB"/>
    <w:rsid w:val="00924DDB"/>
    <w:rsid w:val="00931DCE"/>
    <w:rsid w:val="00941FFE"/>
    <w:rsid w:val="009822C4"/>
    <w:rsid w:val="009A433F"/>
    <w:rsid w:val="009C12C6"/>
    <w:rsid w:val="009C314E"/>
    <w:rsid w:val="00A57B5A"/>
    <w:rsid w:val="00AD244C"/>
    <w:rsid w:val="00B123A5"/>
    <w:rsid w:val="00B620AE"/>
    <w:rsid w:val="00B90B62"/>
    <w:rsid w:val="00BD267A"/>
    <w:rsid w:val="00BD5990"/>
    <w:rsid w:val="00BD6E9E"/>
    <w:rsid w:val="00BF6B5F"/>
    <w:rsid w:val="00CF5491"/>
    <w:rsid w:val="00D46140"/>
    <w:rsid w:val="00D948AB"/>
    <w:rsid w:val="00DA4B37"/>
    <w:rsid w:val="00DB22C4"/>
    <w:rsid w:val="00DC5B45"/>
    <w:rsid w:val="00DF7EA2"/>
    <w:rsid w:val="00E2514E"/>
    <w:rsid w:val="00E656E5"/>
    <w:rsid w:val="00E812FC"/>
    <w:rsid w:val="00EA4C1B"/>
    <w:rsid w:val="00EB3FB2"/>
    <w:rsid w:val="00EB6989"/>
    <w:rsid w:val="00EE44F0"/>
    <w:rsid w:val="00EF1C13"/>
    <w:rsid w:val="00F2007C"/>
    <w:rsid w:val="00F27782"/>
    <w:rsid w:val="00F7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2DFB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D6E9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D6E9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D6E9E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745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5336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17CB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7CB8"/>
  </w:style>
  <w:style w:type="paragraph" w:styleId="ac">
    <w:name w:val="footer"/>
    <w:basedOn w:val="a"/>
    <w:link w:val="ad"/>
    <w:uiPriority w:val="99"/>
    <w:unhideWhenUsed/>
    <w:rsid w:val="00117CB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7C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2DFB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D6E9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D6E9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D6E9E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745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5336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17CB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7CB8"/>
  </w:style>
  <w:style w:type="paragraph" w:styleId="ac">
    <w:name w:val="footer"/>
    <w:basedOn w:val="a"/>
    <w:link w:val="ad"/>
    <w:uiPriority w:val="99"/>
    <w:unhideWhenUsed/>
    <w:rsid w:val="00117CB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7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FE92F-2985-4F2D-BAD0-509834A20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5083</Words>
  <Characters>2898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Савицька Оксана Олександрівна</dc:creator>
  <cp:lastModifiedBy>Олена</cp:lastModifiedBy>
  <cp:revision>9</cp:revision>
  <cp:lastPrinted>2019-04-01T08:55:00Z</cp:lastPrinted>
  <dcterms:created xsi:type="dcterms:W3CDTF">2019-07-05T09:26:00Z</dcterms:created>
  <dcterms:modified xsi:type="dcterms:W3CDTF">2019-07-10T14:53:00Z</dcterms:modified>
</cp:coreProperties>
</file>